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7C" w:rsidRPr="00170C3A" w:rsidRDefault="00EC2E7C" w:rsidP="00170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30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Словарь </w:t>
      </w:r>
      <w:r w:rsidR="00170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ГИА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E7C" w:rsidRPr="007630B8" w:rsidRDefault="00050810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Апелляция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Апелляция – это процедура, призванная защитить интересы участника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 нарушений процедуры проведения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или несогласия с результатами ЕГЭ, основанной на предположении о наличии технических или экспертных ошибок при оценивании работы экзаменуемого.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об апелляции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подается в письменной форме 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конфликтную комиссию субъекта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Подробнее о правилах подачи апелляций читайте в разделе </w:t>
      </w:r>
      <w:hyperlink r:id="rId6" w:history="1">
        <w:r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АПЕЛЛЯЦИЯ</w:t>
        </w:r>
      </w:hyperlink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EC2E7C" w:rsidRPr="007630B8" w:rsidRDefault="00050810" w:rsidP="00170C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Бланки ЕГЭ</w:t>
        </w:r>
      </w:hyperlink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Специальные, утвержденные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бланки для оформления ответов на задания ЕГЭ. Существует 4 вида бланков ЕГЭ: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регистрации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ответов №1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для заданий типа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 В,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ответов №2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для заданий типа С,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дополнительный бланк ответов №2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. В бланк регистрации участник ЕГЭ вписывает свои личные данные. Ответы на экзаменационные задания вписываются в бланки ответов №1и №2 и, если понадобится, в дополнительный бланк ответов №2 в строгом соответствии с образцом, правилами заполнения и инструкциями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КИМ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EC2E7C" w:rsidRPr="007630B8" w:rsidRDefault="00050810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Бланк регистрации</w:t>
        </w:r>
      </w:hyperlink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Бланк регистрации предназначен для внесения участником индивидуальных данных.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бланка регистрации расположены: вертикальный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горизонтальный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 его цифровым номером, образец написания символов при заполнении бланка.</w:t>
      </w:r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Поля в верхней части бланка нужны для указания следующей информации: код региона, код образовательного учреждения, в котором обучался участник ЕГЭ – выпускник текущего года (для выпускников прошлых лет или поступающих в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ссуз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/вуз – код образовательного учреждения, в котором участник получил пропуск на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), номер и буква класса (не заполняется участником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– выпускником прошлых лет или поступающим в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ссуз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/вуз), код пункта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номер аудитории в пункте проведения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дата проведения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>, код предмета, название предмета, поля для служебного использования.</w:t>
      </w:r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В средней части бланка регистрации указываются сведения об участнике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: фамилия, имя, отчество (при наличии), серия и номер документа, удостоверяющего личность, пол. Также там расположены поля для служебного использования, краткая инструкция по определению целостности индивидуального комплекта участника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поле для подписи участника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заполняет соответствующие поля верхней и средней частей бланка, кроме полей для служебного использования, и ставит в отведенном поле бланка свою подпись.</w:t>
      </w:r>
      <w:proofErr w:type="gramEnd"/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В нижней части бланка регистрации расположены поля, заполняемые ответственным организатором в аудитории в случаях, если участник удален с экзамена в связи с нарушением порядка проведения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или не закончил экзамен по уважительной причине, а также поле для подписи ответственного организатора.</w:t>
      </w:r>
    </w:p>
    <w:p w:rsidR="00EC2E7C" w:rsidRPr="007630B8" w:rsidRDefault="00050810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Бланк ответов №1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Бланк ответов № 1 предназначен для записи ответов на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 типа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 выбором ответа из предложенных вариантов и записи результатов выполнения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заданий типа В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 ответом в краткой форме (слово или число). Записывать ответы надо в строгом соответствии с инструкцией, которые дается к заданиям 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КИМ.</w:t>
      </w:r>
    </w:p>
    <w:p w:rsidR="00EC2E7C" w:rsidRPr="007630B8" w:rsidRDefault="00EC2E7C" w:rsidP="00170C3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Также на этом бланке расположены вертикальный и горизонтальный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штрихкоды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строка с образцами написания символов, поля для заполнения участником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>, а также поле для служебного использования.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EC2E7C" w:rsidRPr="007630B8" w:rsidRDefault="00050810" w:rsidP="00170C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Бланк ответов №2</w:t>
        </w:r>
      </w:hyperlink>
    </w:p>
    <w:p w:rsidR="00EC2E7C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Бланк ответов № 2 предназначен для записи ответов на задания с развернутым ответом. Поля для ответов на задания располагаются на титульной и обратной стороне бланка. 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бланка ответов № 2 расположены вертикальный и горизонтальный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штрихкоды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поля для рукописного занесения информации участником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>, при этом вносимые, код региона, код и название предмета, должны соответствовать информации, внесенной в бланк регистрации и бланк ответов № 1</w:t>
      </w:r>
      <w:proofErr w:type="gramEnd"/>
    </w:p>
    <w:p w:rsidR="00170C3A" w:rsidRPr="007630B8" w:rsidRDefault="00170C3A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EC2E7C" w:rsidRPr="007630B8" w:rsidRDefault="00050810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Дополнительный бланк ответов №2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Дополнительный бланк ответов № 2 предназначен для записи ответов на задания с развернутым ответом.  Дополнительный бланк ответов № 2 выдается организатором в аудитории по требованию участника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в случае нехватки места для записи развернутого ответа.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горизонтальный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 его цифровым номером, поля («Код региона», «Код предмета» и «Название предмета») заполняемые участником экзамена.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Информация для заполнения полей верхней части бланка должна полностью совпадать с информацией основного бланка ответов № 2.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Поля «Следующий дополнительный бланк ответов № 2» и «Лист №» заполняет организатор в аудитории. При выдаче дополнительного бланка ответов № 2 вносится порядковый номер листа работы участника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(при этом листом № 1 является основной бланк ответов № 2, который участник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получил в составе индивидуального комплекта).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C2E7C" w:rsidRPr="007630B8" w:rsidRDefault="00050810" w:rsidP="00170C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ГВЭ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выпускной экзамен 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EC2E7C" w:rsidRPr="007630B8" w:rsidRDefault="00050810" w:rsidP="00170C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ГИА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</w:t>
      </w:r>
      <w:r w:rsidRPr="007630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XI (XII) классов проводится в форме единого государственного экзамена, а также в форме государственного выпускного экзамена.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IX (X) классов проводится в форме государственного выпускного экзамена, а также в новой форме организации экзаменов с использованием стандартизированных заданий,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EC2E7C" w:rsidRPr="007630B8" w:rsidRDefault="00050810" w:rsidP="00170C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ГИА выпускников 9 классов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обучающихся, освоивших образовательные программы основного общего образования проводится для выпускников IX (X) классов. С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 использованием заданий  стандартизированной формы, выполнение которых позволяет установить уровень 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 федерального государственного стандарта основного общего образования с использованием механизмов независимой оценки знаний. Для ее проведения в субъектах РФ создаются территориальные экзаменационные комиссии.</w:t>
      </w:r>
    </w:p>
    <w:p w:rsidR="00EC2E7C" w:rsidRPr="007630B8" w:rsidRDefault="00050810" w:rsidP="00170C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ГИА выпускников 11 классов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выпускников XI (XII) классов – это форма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 ГИА выпускников XI (XII) классов проводится в форме ЕГЭ, а также в форме государственного выпускного экзамена. Для нескольких категорий выпускников допускается сочетание обеих форм ГИА</w:t>
      </w:r>
    </w:p>
    <w:p w:rsidR="00EC2E7C" w:rsidRPr="007630B8" w:rsidRDefault="00050810" w:rsidP="00170C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экзаменационная комиссия субъекта Российской Федерации, которая создаётся в каждом субъекте Федерации. В нее входят представители органов государственной власти региона, органов местного самоуправления, ОУ, других организаций. Персональный состав ГЭК утверждается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. ГЭК организует, координирует и контролирует работу по подготовке и проведению ЕГЭ на территории субъекта, утверждает на своем заседании результаты проведения ЕГЭ, а также принимает решения об их отмене.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EC2E7C" w:rsidRPr="007630B8" w:rsidRDefault="00050810" w:rsidP="00170C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Демоверсии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варианты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контрольных измерительных материалов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единого государственного экзамена, которые находятся в открытом доступе и предназначены для тренировки будущих участников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. Задания, включенные в демоверсию, никогда не использовались и не будут использованы на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но они аналогичны заданиям экзамена. Они созданы и опубликованы специально для того, чтобы  дать возможность любому участнику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составить представление о структуре и содержании будущих экзаменационных заданий, их количестве, форме, уровне сложности.</w:t>
      </w:r>
    </w:p>
    <w:p w:rsidR="00EC2E7C" w:rsidRPr="007630B8" w:rsidRDefault="00050810" w:rsidP="00170C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Доставочный пакет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Это запечатанный пакет, в котором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индивидуальные комплекты 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доставляются 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ППЭ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. Несанкционированное вскрытие доставочного пакета запрещено.  Технологии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позволяют выявить все факты преднамеренного нарушения герметичности упаковки доставочного пакета. Организаторы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ППЭ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обязаны убедиться в сохранность доставочных пакетов перед их вскрытием непосредственно в аудиториях 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ППЭ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наблюдатели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– контролировать эту процедуру, убедившись в отсутствии механических или иных повреждений.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EC2E7C" w:rsidRPr="007630B8" w:rsidRDefault="00050810" w:rsidP="00170C3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ЕГЭ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Единый государственный экзамен – одна из форм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государственной итоговой аттестации выпускников 11-х классов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 вступительных испытаний в высшие и средние специальные учебные заведения.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единым правилам,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заданий стандартизированной формы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и единой методики оценивания выполненных работ. На сегодняшний день утверждены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14 общеобразовательных предмета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(включая четыре иностранных языка), по которым можно сдать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. Участники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получают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свидетельство о результатах ЕГЭ,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в которое вписываются только положительные результаты сданных экзаменов. Результаты всех экзаменов и данные о выданных свидетельствах хранятся в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федеральной базе данных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C2E7C" w:rsidRPr="007630B8" w:rsidRDefault="00050810" w:rsidP="00170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Измерение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Формализованный процесс оценивания (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>.), который завершается количественной оценкой; в случае педагогического измерения это оценка уровня образовательных достижений.</w:t>
      </w:r>
    </w:p>
    <w:p w:rsidR="00EC2E7C" w:rsidRPr="007630B8" w:rsidRDefault="00050810" w:rsidP="00170C3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ИК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Индивидуальный комплект участника Е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. Это запечатанный конверт формата А-4+, который выдается каждому участнику экзамена.   Имеет средства защиты информации, в частности,  два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штрихкода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 цифровыми номерами. В конверте находятся следующее: 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экзаменационные материалы (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КИМ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регистрации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ответов №1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бланк ответов №2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лист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длясверки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номера и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штрихкода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конверта с номером и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штрихкодом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его содержимого, а так же  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дополнительные материалы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если их наличие предусмотрено на данном экзамене. ИК выдается участнику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перед началом экзамена. ИК и его содержимое запрещено к несанкционированному копированию.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EC2E7C" w:rsidRPr="007630B8" w:rsidRDefault="00050810" w:rsidP="00170C3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КИМ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измерительные материалы – экзаменационные материалы различных видов (тексты, задания и др.), которые выдаются участникам </w:t>
      </w:r>
      <w:r w:rsidRPr="007630B8">
        <w:rPr>
          <w:rFonts w:ascii="Times New Roman" w:eastAsia="Times New Roman" w:hAnsi="Times New Roman" w:cs="Times New Roman"/>
          <w:sz w:val="24"/>
          <w:szCs w:val="24"/>
          <w:u w:val="single"/>
        </w:rPr>
        <w:t>ЕГЭ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на экзамене.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КИМ занимаются специалисты </w:t>
      </w:r>
      <w:hyperlink r:id="rId23" w:tgtFrame="_blank" w:history="1">
        <w:r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ФГНУ ФИПИ</w:t>
        </w:r>
      </w:hyperlink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050810" w:rsidP="00170C3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Кодификатор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ЕГЭ – один из документов, регламентирующих разработку КИМ. Он представляет собой перечень элементов обязательного минимума содержания среднего (полного) и основного общего образования по учебному предмету, в котором каждому элементу содержания присвоен собственный код. Кодификатор составлен на основе Федерального компонента государственных стандартов основного общего и среднего (полного) общего образования, базового и профильного уровней по каждому предмету.</w:t>
      </w:r>
    </w:p>
    <w:p w:rsidR="00EC2E7C" w:rsidRPr="007630B8" w:rsidRDefault="00050810" w:rsidP="00170C3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Конфликтная комиссия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Конфликтные комиссии, создаваемые в каждом субъекте РФ, призваны обеспечивать объективность оценивания экзаменационных работ и разрешении спорных вопросов, возникающих при проведении ЕГЭ.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EC2E7C" w:rsidRPr="007630B8" w:rsidRDefault="00050810" w:rsidP="00170C3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Методика </w:t>
        </w:r>
        <w:proofErr w:type="spellStart"/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шкалирования</w:t>
        </w:r>
        <w:proofErr w:type="spellEnd"/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модель, с помощью которой первичные баллы переводятся 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тестовые. Благодаря методике, при одинаковых первичных баллах участники тестирования получают одинаковые тестовые баллы вне зависимости от того, какой из вариантов КИМ они выполняли, и большему первичному баллу соответствует больший тестовый балл.</w:t>
      </w:r>
    </w:p>
    <w:p w:rsidR="00EC2E7C" w:rsidRPr="007630B8" w:rsidRDefault="00050810" w:rsidP="00170C3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МОУО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Местный орган управления образованием, то есть орган местного самоуправления, осуществляющий полномочия в сфере образования.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Общественные наблюдатели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Лица, привлекаемые для усиления контроля за ходом проведения государственной (итоговой) аттестации 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, освоивших образовательные программы основного общего образования или среднего (полного) общего образования. Деятельность общественных наблюдателей регулируется Приказом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России от 29 августа 2011 г. N 2235 </w:t>
      </w:r>
      <w:hyperlink r:id="rId29" w:history="1">
        <w:r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«Об утверждении Положения о 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образования»</w:t>
        </w:r>
      </w:hyperlink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ОВЗ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Участники с ограниченными возможностями здоровья, то есть имеющие недостатки в физическом и (или) психическом развитии: глухие, слабослышащие, слепые, слабовидящие, с тяжелыми нарушениями речи, с нарушениями опорно-двигательного аппарата и другие, в том числе дети-инвалиды. 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Для участников с ОВЗ экзамены организуются с учетом их особенностей психофизического развития, индивидуальных возможностей и состояния здоровья.</w:t>
      </w:r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ОИВ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Организатор ЕГЭ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Лица, привлеченные к организации и проведению ЕГЭ. Как правило,  это преподаватели ОУ, в котором проходит экзамен. При назначении организаторов должно быть исключена возможность присутствия на ППЭ в момент проведения экзамена преподавателей-предметников по соответствующему или родственному предмету (математика - физика, история - обществознание). В состав организаторов ППЭ не должны включаться преподаватели тех ОУ, выпускники которых сдают ЕГЭ 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данном ППЭ.</w:t>
      </w:r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ОО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</w:p>
    <w:p w:rsidR="00EC2E7C" w:rsidRPr="007630B8" w:rsidRDefault="00050810" w:rsidP="00170C3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ОУО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Орган управления образованием, то есть уполномоченный орган исполнительной власти субъекта Российской Федерации, осуществляющий управление в сфере образования.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EC2E7C" w:rsidRPr="007630B8" w:rsidRDefault="00050810" w:rsidP="00170C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Первичный балл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Первичный балл – это предварительный балл ЕГЭ, который получается путем прямого суммирования числа правильных ответов, каждый из которых имеет определенный коэффициент. Каждое выполненное задание ЕГЭ оценивается количеством баллов от 1 до 6. Максимальное количество первичных баллов за все задания КИМ по разным предметам колеблется от 37 до 80. Первичные баллы ЕГЭ преобразуются в тестовые с помощью методики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шкалирования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050810" w:rsidP="00170C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ППЭ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Пункт проведения единого государственного экзамена – специальное помещение, в котором проводится ЕГЭ. ППЭ размещаются в ОУ или других зданиях, отвечающих необходимым для этого требованиям. В каждом регионе РФ ежегодно утверждается своя схема расположения ППЭ. Схемы расположения ППЭ в основные и дополнительные сроки могут отличаться друг от друга. В одном ППЭ, как правило, располагается несколько аудиторий для сдачи экзамена.</w:t>
      </w:r>
    </w:p>
    <w:p w:rsidR="00EC2E7C" w:rsidRPr="007630B8" w:rsidRDefault="00050810" w:rsidP="00170C3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Предметная комиссия 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Создается в каждом субъекте Российской Федерации по каждому общеобразовательному предмету, по которому проводится ЕГЭ, в целях организации и осуществления проверки заданий с развернутым ответом, выполненных на бланках ответов №2.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EC2E7C" w:rsidRPr="007630B8" w:rsidRDefault="00EC2E7C" w:rsidP="00170C3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РИС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Региональная информационная система обеспечения проведения единого государственного экзамена. Правила её формирования и ведения устанавливаются соответствующим Постановлением Правительства Российской Федерации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50810">
        <w:fldChar w:fldCharType="begin"/>
      </w:r>
      <w:r>
        <w:instrText>HYPERLINK "http://www.ege.edu.ru/ru/main/legal-documents/index.php?id_4=17897"</w:instrText>
      </w:r>
      <w:r w:rsidR="00050810">
        <w:fldChar w:fldCharType="separate"/>
      </w:r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</w:t>
      </w:r>
      <w:proofErr w:type="gramStart"/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</w:t>
      </w:r>
      <w:proofErr w:type="gramEnd"/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м. документ)</w:t>
      </w:r>
      <w:r w:rsidR="00050810">
        <w:fldChar w:fldCharType="end"/>
      </w:r>
    </w:p>
    <w:p w:rsidR="00EC2E7C" w:rsidRPr="007630B8" w:rsidRDefault="00050810" w:rsidP="00170C3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РЦОИ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Региональный центр обработки информации является структурой, осуществляющей организационно-технологическое и информационное сопровождение ЕГЭ в субъекте РФ. С учетом административно-территориальных и демографических особенностей субъекта, в эту структуру может входить один или несколько ППОИ.</w:t>
      </w:r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Сфера ответственности РЦОИ:</w:t>
      </w:r>
    </w:p>
    <w:p w:rsidR="00EC2E7C" w:rsidRPr="007630B8" w:rsidRDefault="00EC2E7C" w:rsidP="00170C3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формирование и ведение баз данных субъекта РФ об участниках и результатах ЕГЭ;</w:t>
      </w:r>
    </w:p>
    <w:p w:rsidR="00EC2E7C" w:rsidRPr="007630B8" w:rsidRDefault="00EC2E7C" w:rsidP="00170C3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федеральными базами данных об участниках и результатах ЕГЭ;</w:t>
      </w:r>
    </w:p>
    <w:p w:rsidR="00EC2E7C" w:rsidRPr="007630B8" w:rsidRDefault="00EC2E7C" w:rsidP="00170C3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обработка экзаменационных работ участников ЕГЭ, в том числе бланков регистрации участников ЕГЭ на базе ППОИ (в случае их создания);</w:t>
      </w:r>
    </w:p>
    <w:p w:rsidR="00EC2E7C" w:rsidRPr="007630B8" w:rsidRDefault="00EC2E7C" w:rsidP="00170C3A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работы ГЭК, предметных комиссий, конфликтной комиссии региона, органов исполнительной власти и местного самоуправления субъекта РФ, осуществляющих управление в сфере образования, а также образовательных учреждений в части организации и проведения ЕГЭ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EC2E7C" w:rsidRPr="007630B8" w:rsidRDefault="00050810" w:rsidP="00170C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Спецификация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Документ, определяющий структуру и содержание КИМ по учебному предмету. Спецификация описывает назначение экзаменационной работы, устанавливает распределение заданий по содержанию, видам деятельности и уровню сложности, утверждает систему оценивания отдельных заданий и работы в целом, обозначает условия </w:t>
      </w:r>
      <w:r w:rsidRPr="00763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и проверки результатов экзамена. На основе плана экзаменационной работы, содержащегося в спецификации, формируются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050810" w:rsidP="00170C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Справка об обучении в ОО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Выдается выпускникам, не завершившим среднего (полного) общего образования, не прошедшим ГИА или получившим неудовлетворительные результаты ЕГЭ по русскому и математике, либо получившие повторно неудовлетворительный результат по одному из этих предметов на ЕГЭ в дополнительные сроки. Таким выпускникам предоставляется право пройти ГИА по соответствующим образовательным предметам не ранее, чем через год.</w:t>
      </w:r>
    </w:p>
    <w:p w:rsidR="00EC2E7C" w:rsidRPr="007630B8" w:rsidRDefault="00050810" w:rsidP="00170C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Сроки сдачи экзаменов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Сроки сдачи ЕГЭ по всем предметам, единые для всех субъектов РФ, ежегодно устанавливает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C2E7C" w:rsidRPr="007630B8" w:rsidRDefault="00050810" w:rsidP="00170C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Тестовые баллы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баллы по результатам ЕГЭ, которые выставляются по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стобалльной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шкале в результате процедуры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шкалирования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>, учитывающей все статистические материалы, полученные в рамках проведения ЕГЭ данного года. Тестовые баллы отличаются от первичных баллов.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C2E7C" w:rsidRPr="007630B8" w:rsidRDefault="00050810" w:rsidP="00170C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Участник ЕГЭ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Выпускник школы, учащийся образовательного учреждения начального профессионального образования (ПТУ, профессиональный лицей и др.), среднего профессионального образования (техникум, колледж и др.), а также абитуриент, поступающий в имеющие государственную аккредитацию образовательные учреждения высшего и среднего профессионального образования.</w:t>
      </w:r>
      <w:proofErr w:type="gramEnd"/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Ф</w:t>
      </w:r>
    </w:p>
    <w:p w:rsidR="00EC2E7C" w:rsidRPr="007630B8" w:rsidRDefault="00050810" w:rsidP="00170C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ФИПИ</w:t>
        </w:r>
      </w:hyperlink>
    </w:p>
    <w:p w:rsidR="00EC2E7C" w:rsidRPr="007630B8" w:rsidRDefault="00050810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институт педагогических измерений</w:t>
        </w:r>
      </w:hyperlink>
      <w:r w:rsidR="00EC2E7C" w:rsidRPr="007630B8">
        <w:rPr>
          <w:rFonts w:ascii="Times New Roman" w:eastAsia="Times New Roman" w:hAnsi="Times New Roman" w:cs="Times New Roman"/>
          <w:sz w:val="24"/>
          <w:szCs w:val="24"/>
        </w:rPr>
        <w:t xml:space="preserve"> – учреждение, отвечающее за организацию разработки контрольных измерительных материалов ЕГЭ.</w:t>
      </w:r>
    </w:p>
    <w:p w:rsidR="00EC2E7C" w:rsidRPr="007630B8" w:rsidRDefault="00050810" w:rsidP="00170C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ФИС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образования. Правила её формирования и ведения устанавливаются соответствующим Постановлением Правительства Российской Федерации</w:t>
      </w: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50810">
        <w:fldChar w:fldCharType="begin"/>
      </w:r>
      <w:r>
        <w:instrText>HYPERLINK "http://www.ege.edu.ru/ru/main/legal-documents/index.php?id_4=17897"</w:instrText>
      </w:r>
      <w:r w:rsidR="00050810">
        <w:fldChar w:fldCharType="separate"/>
      </w:r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</w:t>
      </w:r>
      <w:proofErr w:type="gramStart"/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</w:t>
      </w:r>
      <w:proofErr w:type="gramEnd"/>
      <w:r w:rsidRPr="007630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м. документ)</w:t>
      </w:r>
      <w:r w:rsidR="00050810">
        <w:fldChar w:fldCharType="end"/>
      </w:r>
    </w:p>
    <w:p w:rsidR="00EC2E7C" w:rsidRPr="007630B8" w:rsidRDefault="00050810" w:rsidP="00170C3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ФЦТ</w:t>
        </w:r>
      </w:hyperlink>
    </w:p>
    <w:p w:rsidR="00EC2E7C" w:rsidRPr="007630B8" w:rsidRDefault="00050810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центр тестирования</w:t>
        </w:r>
      </w:hyperlink>
      <w:r w:rsidR="00EC2E7C" w:rsidRPr="007630B8">
        <w:rPr>
          <w:rFonts w:ascii="Times New Roman" w:eastAsia="Times New Roman" w:hAnsi="Times New Roman" w:cs="Times New Roman"/>
          <w:sz w:val="24"/>
          <w:szCs w:val="24"/>
        </w:rPr>
        <w:t xml:space="preserve"> – учреждение, отвечающее за технологическое обеспечение ЕГЭ, а так же обработку результатов ЕГЭ на федеральном уровне.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0B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</w:p>
    <w:p w:rsidR="00EC2E7C" w:rsidRPr="007630B8" w:rsidRDefault="00050810" w:rsidP="00170C3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proofErr w:type="spellStart"/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Шкалирование</w:t>
        </w:r>
        <w:proofErr w:type="spellEnd"/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Процесс формирования тестовых шкал по правилам начисления тестовых баллов по результатам тестирования на основе статистических данных.</w:t>
      </w:r>
    </w:p>
    <w:p w:rsidR="00EC2E7C" w:rsidRPr="007630B8" w:rsidRDefault="00EC2E7C" w:rsidP="0017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>Э</w:t>
      </w:r>
    </w:p>
    <w:p w:rsidR="00EC2E7C" w:rsidRPr="007630B8" w:rsidRDefault="00050810" w:rsidP="00170C3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EC2E7C"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Экзаменационные материалы</w:t>
        </w:r>
      </w:hyperlink>
    </w:p>
    <w:p w:rsidR="00EC2E7C" w:rsidRPr="007630B8" w:rsidRDefault="00EC2E7C" w:rsidP="00170C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измерительные материалы различных видов (тексты, задания и др.), которые выдаются участникам ЕГЭ на экзамене. Экзаменационные материалы или КИМ разрабатываются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Разработкой экзаменационных материалов или </w:t>
      </w:r>
      <w:proofErr w:type="spellStart"/>
      <w:r w:rsidRPr="007630B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7630B8">
        <w:rPr>
          <w:rFonts w:ascii="Times New Roman" w:eastAsia="Times New Roman" w:hAnsi="Times New Roman" w:cs="Times New Roman"/>
          <w:sz w:val="24"/>
          <w:szCs w:val="24"/>
        </w:rPr>
        <w:t xml:space="preserve"> занимаются специалисты </w:t>
      </w:r>
      <w:hyperlink r:id="rId51" w:tgtFrame="_blank" w:history="1">
        <w:r w:rsidRPr="0076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ФГНУ ФИПИ</w:t>
        </w:r>
      </w:hyperlink>
      <w:r w:rsidRPr="00763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AF9" w:rsidRDefault="00A85AF9" w:rsidP="00170C3A">
      <w:pPr>
        <w:spacing w:after="0"/>
      </w:pPr>
    </w:p>
    <w:sectPr w:rsidR="00A85AF9" w:rsidSect="00170C3A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AB1"/>
    <w:multiLevelType w:val="multilevel"/>
    <w:tmpl w:val="F89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21F0"/>
    <w:multiLevelType w:val="multilevel"/>
    <w:tmpl w:val="630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E206B"/>
    <w:multiLevelType w:val="multilevel"/>
    <w:tmpl w:val="B99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42640"/>
    <w:multiLevelType w:val="multilevel"/>
    <w:tmpl w:val="397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63C2"/>
    <w:multiLevelType w:val="multilevel"/>
    <w:tmpl w:val="916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33C7"/>
    <w:multiLevelType w:val="multilevel"/>
    <w:tmpl w:val="399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93313"/>
    <w:multiLevelType w:val="multilevel"/>
    <w:tmpl w:val="39A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93FB0"/>
    <w:multiLevelType w:val="multilevel"/>
    <w:tmpl w:val="250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766CE"/>
    <w:multiLevelType w:val="multilevel"/>
    <w:tmpl w:val="71B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03981"/>
    <w:multiLevelType w:val="multilevel"/>
    <w:tmpl w:val="B7E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E2CA9"/>
    <w:multiLevelType w:val="multilevel"/>
    <w:tmpl w:val="375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27CBF"/>
    <w:multiLevelType w:val="multilevel"/>
    <w:tmpl w:val="131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B32A2"/>
    <w:multiLevelType w:val="multilevel"/>
    <w:tmpl w:val="45A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053A3"/>
    <w:multiLevelType w:val="multilevel"/>
    <w:tmpl w:val="9C0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F4706"/>
    <w:multiLevelType w:val="multilevel"/>
    <w:tmpl w:val="CE7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54D32"/>
    <w:multiLevelType w:val="multilevel"/>
    <w:tmpl w:val="713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15775"/>
    <w:multiLevelType w:val="multilevel"/>
    <w:tmpl w:val="EC7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2E7C"/>
    <w:rsid w:val="00050810"/>
    <w:rsid w:val="00170C3A"/>
    <w:rsid w:val="00A85AF9"/>
    <w:rsid w:val="00E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/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//" TargetMode="External"/><Relationship Id="rId39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//" TargetMode="External"/><Relationship Id="rId34" Type="http://schemas.openxmlformats.org/officeDocument/2006/relationships/hyperlink" Target="javascript://" TargetMode="External"/><Relationship Id="rId42" Type="http://schemas.openxmlformats.org/officeDocument/2006/relationships/hyperlink" Target="javascript://" TargetMode="External"/><Relationship Id="rId47" Type="http://schemas.openxmlformats.org/officeDocument/2006/relationships/hyperlink" Target="javascript://" TargetMode="External"/><Relationship Id="rId50" Type="http://schemas.openxmlformats.org/officeDocument/2006/relationships/hyperlink" Target="javascript://" TargetMode="Externa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hyperlink" Target="javascript://" TargetMode="External"/><Relationship Id="rId46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http://www.ege.edu.ru/ru/main/legal-documents/index.php?id_4=17851&amp;from_4=2" TargetMode="External"/><Relationship Id="rId41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appel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javascript://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hyperlink" Target="javascript://" TargetMode="External"/><Relationship Id="rId40" Type="http://schemas.openxmlformats.org/officeDocument/2006/relationships/hyperlink" Target="javascript://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//" TargetMode="External"/><Relationship Id="rId15" Type="http://schemas.openxmlformats.org/officeDocument/2006/relationships/hyperlink" Target="javascript:/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javascript://" TargetMode="External"/><Relationship Id="rId36" Type="http://schemas.openxmlformats.org/officeDocument/2006/relationships/hyperlink" Target="javascript://" TargetMode="External"/><Relationship Id="rId49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31" Type="http://schemas.openxmlformats.org/officeDocument/2006/relationships/hyperlink" Target="javascript://" TargetMode="External"/><Relationship Id="rId44" Type="http://schemas.openxmlformats.org/officeDocument/2006/relationships/hyperlink" Target="javascript:/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javascript://" TargetMode="External"/><Relationship Id="rId43" Type="http://schemas.openxmlformats.org/officeDocument/2006/relationships/hyperlink" Target="javascript://" TargetMode="External"/><Relationship Id="rId48" Type="http://schemas.openxmlformats.org/officeDocument/2006/relationships/hyperlink" Target="http://www.rustest.ru/" TargetMode="External"/><Relationship Id="rId8" Type="http://schemas.openxmlformats.org/officeDocument/2006/relationships/hyperlink" Target="javascript://" TargetMode="External"/><Relationship Id="rId51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3169</Words>
  <Characters>18065</Characters>
  <Application>Microsoft Office Word</Application>
  <DocSecurity>0</DocSecurity>
  <Lines>150</Lines>
  <Paragraphs>42</Paragraphs>
  <ScaleCrop>false</ScaleCrop>
  <Company>МКОУ "Мостовская СОШ"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2016-01-19T09:52:00Z</dcterms:created>
  <dcterms:modified xsi:type="dcterms:W3CDTF">2016-01-19T10:02:00Z</dcterms:modified>
</cp:coreProperties>
</file>